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Munkaviszony megszüntetése közös megegyezéssel</w:t>
      </w:r>
    </w:p>
    <w:p>
      <w:r>
        <w:t>Kétoldalú megállapodás az Mt. 64. § (1) bekezdés a) pontja szerint. A helykitöltőket töltse ki, a nem választott változatokat törölje. A második oldal nem része a megállapodásnak.</w:t>
      </w:r>
    </w:p>
    <w:p>
      <w:pPr>
        <w:pStyle w:val="Heading1"/>
      </w:pPr>
      <w:r>
        <w:t>A megállapodó felek</w:t>
      </w:r>
    </w:p>
    <w:p>
      <w:r>
        <w:t>Munkáltató neve, székhelye és jogosult képviselője: [kitöltendő]</w:t>
      </w:r>
    </w:p>
    <w:p>
      <w:r>
        <w:t>Munkavállaló neve és lakcíme: [kitöltendő]</w:t>
      </w:r>
    </w:p>
    <w:p>
      <w:r>
        <w:t>Munkaviszony kezdőnapja: [kitöltendő]</w:t>
      </w:r>
    </w:p>
    <w:p>
      <w:pPr>
        <w:pStyle w:val="Heading1"/>
      </w:pPr>
      <w:r>
        <w:t>A megszüntetés és a munkavégzés</w:t>
      </w:r>
    </w:p>
    <w:p>
      <w:r>
        <w:t>A felek közös megegyezéssel megszüntetik a közöttük fennálló munkaviszonyt. A munkaviszony megszűnésének napja: [év, hónap, nap]. Utolsó munkában töltött nap: [év, hónap, nap].</w:t>
      </w:r>
    </w:p>
    <w:p>
      <w:r>
        <w:t>Munkavégzés a megszűnésig: a beosztás szerint VAGY mentesítés [időszak] alatt, [díjazás jogcíme és bruttó összege vagy számítási módja]. Egy változatot hagyjon meg.</w:t>
      </w:r>
    </w:p>
    <w:p>
      <w:pPr>
        <w:pStyle w:val="Heading1"/>
      </w:pPr>
      <w:r>
        <w:t>Elszámolás és átadás</w:t>
      </w:r>
    </w:p>
    <w:p>
      <w:r>
        <w:t>A munkáltató elszámolja és megfizeti a járó munkabért, egyéb járandóságokat és a ki nem adott arányos szabadság megváltását az apasági és szülői szabadság kivételével, és kiadja az előírt igazolásokat legkésőbb a megszűnéstől számított ötödik munkanapon. E kötelező határidőt a megállapodás nem hosszabbítja meg.</w:t>
      </w:r>
    </w:p>
    <w:p>
      <w:r>
        <w:t>Külön megállapodott többletjuttatás: nincs VAGY [jogcím], bruttó [összeg] Ft, esedékesség [dátum], fizetés módja [kitöltendő]. Egy változatot hagyjon meg; ez a kötelező elszámoláson felüli összeg.</w:t>
      </w:r>
    </w:p>
    <w:p>
      <w:r>
        <w:t>Elszámolás részleteit tartalmazó melléklet, ha van: [kitöltendő]</w:t>
      </w:r>
    </w:p>
    <w:p>
      <w:r>
        <w:t>Munkakör és eszközök átadása, felelős és időpont: [kitöltendő]</w:t>
      </w:r>
    </w:p>
    <w:p>
      <w:r>
        <w:t>A felek a megállapodást elolvasták, annak tartalmát megértették, és saját akaratuknak megfelelően írják alá. Mindkét fél kap aláírt példányt. A megállapodás nem tartalmaz általános lemondást további igényekről.</w:t>
      </w:r>
    </w:p>
    <w:p>
      <w:r>
        <w:t>Kelt: [hely], [év, hónap, nap]</w:t>
      </w:r>
    </w:p>
    <w:p>
      <w:r>
        <w:t>Munkáltató aláírása: _________________________________</w:t>
      </w:r>
    </w:p>
    <w:p>
      <w:r>
        <w:t>Munkavállaló aláírása: _______________________________</w:t>
      </w:r>
    </w:p>
    <w:p>
      <w:r>
        <w:br w:type="page"/>
      </w:r>
    </w:p>
    <w:p>
      <w:pPr>
        <w:pStyle w:val="Title"/>
      </w:pPr>
      <w:r>
        <w:t>Kitöltési és használati útmutató</w:t>
      </w:r>
    </w:p>
    <w:p>
      <w:r>
        <w:t>Ez a minta valódi kétoldalú megállapodás, nem egyoldalú felmondás vagy kérelem. Csak akkor használja, ha mindkét fél önként elfogadja a feltételeket. Az útmutatót ne csatolja az aláírandó irathoz.</w:t>
      </w:r>
    </w:p>
    <w:p>
      <w:pPr>
        <w:pStyle w:val="Heading1"/>
      </w:pPr>
      <w:r>
        <w:t>Aláírás előtt</w:t>
      </w:r>
    </w:p>
    <w:p>
      <w:r>
        <w:t>Ellenőrizze a feleket és a munkáltató képviseleti jogosultságát. A megszűnés napját konkrét naptári nappal jelölje; ez eltérhet az utolsó munkában töltött naptól. Ne írjon alá üres, visszadátumozott vagy egymásnak ellentmondó adatokat.</w:t>
      </w:r>
    </w:p>
    <w:p>
      <w:r>
        <w:t>Válasszon munkavégzést vagy mentesítést. A mentesítés időtartamát és díjazását kifejezetten rögzítse. A közös megegyezéshez nem jár automatikusan a munkáltatói felmondás felmondási ideje vagy az Mt. 77. § szerinti végkielégítés; egyedi szerződés vagy külön jogcím miatt további jogosultság lehet.</w:t>
      </w:r>
    </w:p>
    <w:p>
      <w:r>
        <w:t>A munkabér, pótlék, költségtérítés és alkalmazandó szabadságmegváltás tételes elszámolását csatolt mellékletben is rögzítheti. Az apasági és szülői szabadságot a törvény kizárja a megszűnéskori megváltásból. A kötelező elszámolást ne keverje a szabadon kialkudott többletjuttatással.</w:t>
      </w:r>
    </w:p>
    <w:p>
      <w:r>
        <w:t>A többletjuttatás mezőjét akkor is rendezze, ha nincs ilyen összeg. Válasszon egy változatot, az összeget bruttó módon adja meg, és rögzítse az esedékességet. Eszközátadásnál írja le a feladatot, a felelőst és az időpontot.</w:t>
      </w:r>
    </w:p>
    <w:p>
      <w:pPr>
        <w:pStyle w:val="Heading1"/>
      </w:pPr>
      <w:r>
        <w:t>Vitás helyzet és megtámadás</w:t>
      </w:r>
    </w:p>
    <w:p>
      <w:r>
        <w:t>Ne írjon alá nyomás alatt; kérjen időt és egyedi munkajogi segítséget. A puszta meggondolás nem teszi a megállapodást egyoldalúan visszavonhatóvá. Tévedés, megtévesztés vagy jogellenes fenyegetés esetén az Mt. 28. § feltételei szerint lehet megtámadás.</w:t>
      </w:r>
    </w:p>
    <w:p>
      <w:r>
        <w:t>A megtámadást írásban kell közölni a másik féllel. A határidő harminc nap a tévedés felismerésétől vagy a fenyegetés megszűnésétől; hat hónap után a megtámadás joga nem gyakorolható. A határidőkre az elévülési szabályokat megfelelően alkalmazni kell.</w:t>
      </w:r>
    </w:p>
    <w:p>
      <w:r>
        <w:t>Ha a másik fél tizenöt napon belül nem válaszol vagy nem fogadja el a megtámadást, az eredménytelen. Az eredménytelenség megállapításától számított harminc napon belül lehet keresetet előterjeszteni az Mt. 287. § (3) szerint. Egyedi ügyben a pontos határidőt azonnal ellenőriztesse.</w:t>
      </w:r>
    </w:p>
    <w:p>
      <w:pPr>
        <w:pStyle w:val="Heading1"/>
      </w:pPr>
      <w:r>
        <w:t>Egyedi átdolgozás</w:t>
      </w:r>
    </w:p>
    <w:p>
      <w:r>
        <w:t>Várandósság, védett helyzet, külön juttatás, vezetői jogviszony, versenytilalom, kártérítési vita vagy álláskeresési ellátás kérdése külön vizsgálatot igényel. Ez az irat nem garantál ellátási jogosultságot és nem rendez minden lehetséges követelést.</w:t>
      </w:r>
    </w:p>
    <w:p>
      <w:pPr>
        <w:pStyle w:val="Heading1"/>
      </w:pPr>
      <w:r>
        <w:t>Forrás és ellenőrzés</w:t>
      </w:r>
    </w:p>
    <w:p>
      <w:r>
        <w:t>2012. évi I. törvény 28., 64., 77., 80., 125. és 287. §. https://njt.jog.gov.hu/jogszabaly/2012-1-00-00</w:t>
      </w:r>
    </w:p>
    <w:p>
      <w:r>
        <w:t>Forrás- és technikai ellenőrzés: 2026. október 3. Automatizált szerkesztési segítséggel frissítve; szakjogászi jóváhagyás nem történt. Használatkor ellenőrizze a hatályos szabályokat.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berkalkulator.com | Ellenőrzés 2026-10-03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45" w:lineRule="auto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5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Munkaviszony megszüntetése közös megegyezéssel</dc:title>
  <dc:subject/>
  <dc:creator>berkalkulator.com</dc:creator>
  <cp:keywords/>
  <dc:description>Forrás- és technikai ellenőrzés 2026-10-03. Szakjogászi vagy könyvelői jóváhagyás nem történt.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